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1C" w:rsidRDefault="0056521C" w:rsidP="0056521C">
      <w:pPr>
        <w:jc w:val="center"/>
        <w:rPr>
          <w:b/>
          <w:sz w:val="48"/>
          <w:szCs w:val="48"/>
        </w:rPr>
      </w:pPr>
      <w:bookmarkStart w:id="0" w:name="_Toc468452563"/>
      <w:bookmarkStart w:id="1" w:name="_GoBack"/>
      <w:bookmarkEnd w:id="1"/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CF75DD" w:rsidRPr="0056521C" w:rsidRDefault="0056521C" w:rsidP="0056521C">
      <w:pPr>
        <w:jc w:val="center"/>
        <w:rPr>
          <w:b/>
          <w:sz w:val="48"/>
          <w:szCs w:val="48"/>
        </w:rPr>
      </w:pPr>
      <w:r w:rsidRPr="0056521C">
        <w:rPr>
          <w:b/>
          <w:sz w:val="48"/>
          <w:szCs w:val="48"/>
        </w:rPr>
        <w:t>ПРИМЕРН</w:t>
      </w:r>
      <w:r w:rsidR="0093493E">
        <w:rPr>
          <w:b/>
          <w:sz w:val="48"/>
          <w:szCs w:val="48"/>
        </w:rPr>
        <w:t>ЫЙ ПЕРЕЧЕНЬ</w:t>
      </w:r>
      <w:r w:rsidR="00A04582">
        <w:rPr>
          <w:b/>
          <w:sz w:val="48"/>
          <w:szCs w:val="48"/>
        </w:rPr>
        <w:br/>
      </w:r>
      <w:r w:rsidR="0093493E">
        <w:rPr>
          <w:b/>
          <w:sz w:val="48"/>
          <w:szCs w:val="48"/>
        </w:rPr>
        <w:t>ФОРМ ТЕКУЩЕГО КОНТРОЛЯ УСПЕВАЕМОСТИ ПО</w:t>
      </w:r>
      <w:r>
        <w:rPr>
          <w:b/>
          <w:sz w:val="48"/>
          <w:szCs w:val="48"/>
        </w:rPr>
        <w:br/>
      </w:r>
      <w:r w:rsidRPr="0056521C">
        <w:rPr>
          <w:b/>
          <w:sz w:val="48"/>
          <w:szCs w:val="48"/>
        </w:rPr>
        <w:t>ПРОГРАММ</w:t>
      </w:r>
      <w:r w:rsidR="0093493E">
        <w:rPr>
          <w:b/>
          <w:sz w:val="48"/>
          <w:szCs w:val="48"/>
        </w:rPr>
        <w:t xml:space="preserve">АМ </w:t>
      </w:r>
      <w:r w:rsidRPr="0056521C">
        <w:rPr>
          <w:b/>
          <w:sz w:val="48"/>
          <w:szCs w:val="48"/>
        </w:rPr>
        <w:t>АСПИРАНТУРЫ</w:t>
      </w:r>
      <w:bookmarkEnd w:id="0"/>
    </w:p>
    <w:p w:rsidR="00CF75DD" w:rsidRDefault="00CF75DD" w:rsidP="00D36467">
      <w:pPr>
        <w:ind w:firstLine="0"/>
        <w:jc w:val="center"/>
        <w:rPr>
          <w:b/>
        </w:rPr>
      </w:pPr>
    </w:p>
    <w:p w:rsidR="00A04582" w:rsidRDefault="0056521C" w:rsidP="00A04582">
      <w:pPr>
        <w:jc w:val="center"/>
        <w:rPr>
          <w:b/>
        </w:rPr>
      </w:pPr>
      <w:r>
        <w:rPr>
          <w:b/>
        </w:rPr>
        <w:br w:type="page"/>
      </w:r>
    </w:p>
    <w:p w:rsidR="0093493E" w:rsidRPr="00CE0A30" w:rsidRDefault="0093493E" w:rsidP="0093493E">
      <w:pPr>
        <w:pStyle w:val="3"/>
        <w:spacing w:before="0"/>
        <w:ind w:firstLine="0"/>
        <w:jc w:val="center"/>
        <w:rPr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lastRenderedPageBreak/>
        <w:t>Примерный перечень основных форм контроля и оценочных средств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jc w:val="center"/>
        <w:rPr>
          <w:bCs/>
          <w:sz w:val="8"/>
          <w:szCs w:val="8"/>
        </w:rPr>
      </w:pPr>
    </w:p>
    <w:p w:rsidR="0093493E" w:rsidRPr="00CE0A30" w:rsidRDefault="0093493E" w:rsidP="0093493E">
      <w:pPr>
        <w:autoSpaceDE w:val="0"/>
        <w:autoSpaceDN w:val="0"/>
        <w:adjustRightInd w:val="0"/>
        <w:ind w:firstLine="709"/>
        <w:rPr>
          <w:rFonts w:eastAsia="Calibri"/>
          <w:sz w:val="21"/>
          <w:szCs w:val="21"/>
        </w:rPr>
      </w:pPr>
      <w:r>
        <w:rPr>
          <w:rFonts w:eastAsia="Calibri"/>
          <w:sz w:val="21"/>
          <w:szCs w:val="21"/>
        </w:rPr>
        <w:t xml:space="preserve">Контроль качества освоения программы аспирантуры </w:t>
      </w:r>
      <w:r w:rsidRPr="00CE0A30">
        <w:rPr>
          <w:rFonts w:eastAsia="Calibri"/>
          <w:sz w:val="21"/>
          <w:szCs w:val="21"/>
        </w:rPr>
        <w:t xml:space="preserve">осуществляется с помощью определённых </w:t>
      </w:r>
      <w:r w:rsidRPr="00CE0A30">
        <w:rPr>
          <w:rFonts w:eastAsia="Calibri"/>
          <w:bCs/>
          <w:sz w:val="21"/>
          <w:szCs w:val="21"/>
        </w:rPr>
        <w:t>форм, методов и способов организации</w:t>
      </w:r>
      <w:r w:rsidRPr="00CE0A30">
        <w:rPr>
          <w:rFonts w:eastAsia="Calibri"/>
          <w:sz w:val="21"/>
          <w:szCs w:val="21"/>
        </w:rPr>
        <w:t>.</w:t>
      </w:r>
    </w:p>
    <w:p w:rsidR="0093493E" w:rsidRPr="00CE0A30" w:rsidRDefault="0093493E" w:rsidP="0093493E">
      <w:pPr>
        <w:autoSpaceDE w:val="0"/>
        <w:autoSpaceDN w:val="0"/>
        <w:adjustRightInd w:val="0"/>
        <w:ind w:firstLine="709"/>
        <w:rPr>
          <w:rFonts w:eastAsia="Calibri"/>
          <w:b/>
          <w:sz w:val="21"/>
          <w:szCs w:val="21"/>
        </w:rPr>
      </w:pPr>
      <w:r w:rsidRPr="00CE0A30">
        <w:rPr>
          <w:rFonts w:eastAsia="Calibri"/>
          <w:b/>
          <w:sz w:val="21"/>
          <w:szCs w:val="21"/>
        </w:rPr>
        <w:t>По способу организации:</w:t>
      </w:r>
    </w:p>
    <w:p w:rsidR="0093493E" w:rsidRPr="00CE0A30" w:rsidRDefault="0093493E" w:rsidP="0093493E">
      <w:pPr>
        <w:autoSpaceDE w:val="0"/>
        <w:autoSpaceDN w:val="0"/>
        <w:adjustRightInd w:val="0"/>
        <w:ind w:firstLine="709"/>
        <w:rPr>
          <w:rFonts w:eastAsia="Calibri"/>
          <w:sz w:val="21"/>
          <w:szCs w:val="21"/>
        </w:rPr>
      </w:pPr>
      <w:r w:rsidRPr="00CE0A30">
        <w:rPr>
          <w:rFonts w:eastAsia="Calibri"/>
          <w:sz w:val="21"/>
          <w:szCs w:val="21"/>
        </w:rPr>
        <w:t>1) традиционный контроль (устный опрос, коллоквиум, доклад, тест и др.);</w:t>
      </w:r>
    </w:p>
    <w:p w:rsidR="0093493E" w:rsidRPr="00CE0A30" w:rsidRDefault="0093493E" w:rsidP="0093493E">
      <w:pPr>
        <w:autoSpaceDE w:val="0"/>
        <w:autoSpaceDN w:val="0"/>
        <w:adjustRightInd w:val="0"/>
        <w:ind w:firstLine="709"/>
        <w:rPr>
          <w:rFonts w:eastAsia="Calibri"/>
          <w:sz w:val="21"/>
          <w:szCs w:val="21"/>
        </w:rPr>
      </w:pPr>
      <w:r w:rsidRPr="00CE0A30">
        <w:rPr>
          <w:rFonts w:eastAsia="Calibri"/>
          <w:sz w:val="21"/>
          <w:szCs w:val="21"/>
        </w:rPr>
        <w:t>2) инновационный контроль (портфолио, эссе, кейсы, деловые игры и др.).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Cs/>
          <w:sz w:val="21"/>
          <w:szCs w:val="21"/>
        </w:rPr>
      </w:pPr>
      <w:r w:rsidRPr="00CE0A30">
        <w:rPr>
          <w:bCs/>
          <w:sz w:val="21"/>
          <w:szCs w:val="21"/>
        </w:rPr>
        <w:t xml:space="preserve">Оптимальный путь при формировании </w:t>
      </w:r>
      <w:r>
        <w:rPr>
          <w:bCs/>
          <w:sz w:val="21"/>
          <w:szCs w:val="21"/>
        </w:rPr>
        <w:t xml:space="preserve">оценочных средств </w:t>
      </w:r>
      <w:r w:rsidRPr="00CE0A30">
        <w:rPr>
          <w:bCs/>
          <w:sz w:val="21"/>
          <w:szCs w:val="21"/>
        </w:rPr>
        <w:t xml:space="preserve">заключается в сочетании традиционных и инновационных форм, методов и способов контроля. При этом традиционные средства должны быть переосмыслены в русле </w:t>
      </w:r>
      <w:proofErr w:type="spellStart"/>
      <w:r w:rsidRPr="00CE0A30">
        <w:rPr>
          <w:bCs/>
          <w:sz w:val="21"/>
          <w:szCs w:val="21"/>
        </w:rPr>
        <w:t>компетентностного</w:t>
      </w:r>
      <w:proofErr w:type="spellEnd"/>
      <w:r w:rsidRPr="00CE0A30">
        <w:rPr>
          <w:bCs/>
          <w:sz w:val="21"/>
          <w:szCs w:val="21"/>
        </w:rPr>
        <w:t xml:space="preserve"> подхода, а инновационные - адаптированы для практического применения.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/>
          <w:bCs/>
          <w:sz w:val="21"/>
          <w:szCs w:val="21"/>
        </w:rPr>
      </w:pPr>
      <w:r w:rsidRPr="00CE0A30">
        <w:rPr>
          <w:b/>
          <w:bCs/>
          <w:sz w:val="21"/>
          <w:szCs w:val="21"/>
        </w:rPr>
        <w:t>По массовости охвата: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Cs/>
          <w:sz w:val="21"/>
          <w:szCs w:val="21"/>
        </w:rPr>
      </w:pPr>
      <w:r w:rsidRPr="00CE0A30">
        <w:rPr>
          <w:bCs/>
          <w:sz w:val="21"/>
          <w:szCs w:val="21"/>
        </w:rPr>
        <w:t>1) индивидуальный контроль;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Cs/>
          <w:sz w:val="21"/>
          <w:szCs w:val="21"/>
        </w:rPr>
      </w:pPr>
      <w:r w:rsidRPr="00CE0A30">
        <w:rPr>
          <w:bCs/>
          <w:sz w:val="21"/>
          <w:szCs w:val="21"/>
        </w:rPr>
        <w:t>2) групповой контроль;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Cs/>
          <w:sz w:val="21"/>
          <w:szCs w:val="21"/>
        </w:rPr>
      </w:pPr>
      <w:r w:rsidRPr="00CE0A30">
        <w:rPr>
          <w:bCs/>
          <w:sz w:val="21"/>
          <w:szCs w:val="21"/>
        </w:rPr>
        <w:t>3) фронтальный контроль.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/>
          <w:bCs/>
          <w:sz w:val="21"/>
          <w:szCs w:val="21"/>
        </w:rPr>
      </w:pPr>
      <w:r w:rsidRPr="00CE0A30">
        <w:rPr>
          <w:b/>
          <w:bCs/>
          <w:sz w:val="21"/>
          <w:szCs w:val="21"/>
        </w:rPr>
        <w:t>Методы контроля: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Cs/>
          <w:sz w:val="21"/>
          <w:szCs w:val="21"/>
        </w:rPr>
      </w:pPr>
      <w:r w:rsidRPr="00CE0A30">
        <w:rPr>
          <w:bCs/>
          <w:sz w:val="21"/>
          <w:szCs w:val="21"/>
        </w:rPr>
        <w:t>1) письменный и устный контроль;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Cs/>
          <w:sz w:val="21"/>
          <w:szCs w:val="21"/>
        </w:rPr>
      </w:pPr>
      <w:r w:rsidRPr="00CE0A30">
        <w:rPr>
          <w:bCs/>
          <w:sz w:val="21"/>
          <w:szCs w:val="21"/>
        </w:rPr>
        <w:t>2) контроль с использованием программных средств;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Cs/>
          <w:sz w:val="21"/>
          <w:szCs w:val="21"/>
        </w:rPr>
      </w:pPr>
      <w:r w:rsidRPr="00CE0A30">
        <w:rPr>
          <w:bCs/>
          <w:sz w:val="21"/>
          <w:szCs w:val="21"/>
        </w:rPr>
        <w:t>3) практические работы;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Cs/>
          <w:sz w:val="21"/>
          <w:szCs w:val="21"/>
        </w:rPr>
      </w:pPr>
      <w:r w:rsidRPr="00CE0A30">
        <w:rPr>
          <w:bCs/>
          <w:sz w:val="21"/>
          <w:szCs w:val="21"/>
        </w:rPr>
        <w:t>4) защита творческих работ;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709"/>
        <w:rPr>
          <w:bCs/>
          <w:sz w:val="21"/>
          <w:szCs w:val="21"/>
        </w:rPr>
      </w:pPr>
      <w:r w:rsidRPr="00CE0A30">
        <w:rPr>
          <w:bCs/>
          <w:sz w:val="21"/>
          <w:szCs w:val="21"/>
        </w:rPr>
        <w:t>5) само и взаимоконтроль.</w:t>
      </w:r>
    </w:p>
    <w:p w:rsidR="0093493E" w:rsidRPr="00CE0A30" w:rsidRDefault="0093493E" w:rsidP="0093493E">
      <w:pPr>
        <w:shd w:val="clear" w:color="auto" w:fill="FFFFFF"/>
        <w:tabs>
          <w:tab w:val="left" w:pos="993"/>
          <w:tab w:val="left" w:leader="underscore" w:pos="8309"/>
        </w:tabs>
        <w:ind w:firstLine="0"/>
        <w:jc w:val="center"/>
        <w:rPr>
          <w:bCs/>
        </w:rPr>
      </w:pPr>
      <w:r w:rsidRPr="00CE0A30">
        <w:rPr>
          <w:bCs/>
        </w:rPr>
        <w:t>Основные формы контроля и представления соответствующих оценочных средств</w:t>
      </w:r>
    </w:p>
    <w:tbl>
      <w:tblPr>
        <w:tblW w:w="0" w:type="auto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2660"/>
        <w:gridCol w:w="4252"/>
        <w:gridCol w:w="3271"/>
      </w:tblGrid>
      <w:tr w:rsidR="0093493E" w:rsidRPr="005C3CFF" w:rsidTr="0060395C">
        <w:trPr>
          <w:trHeight w:val="450"/>
          <w:tblHeader/>
          <w:jc w:val="center"/>
        </w:trPr>
        <w:tc>
          <w:tcPr>
            <w:tcW w:w="2660" w:type="dxa"/>
            <w:vAlign w:val="center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5C3CFF">
              <w:rPr>
                <w:rFonts w:eastAsia="Calibri"/>
                <w:b/>
                <w:color w:val="000000"/>
                <w:sz w:val="22"/>
                <w:szCs w:val="22"/>
              </w:rPr>
              <w:t>Форма контроля</w:t>
            </w:r>
            <w:r w:rsidRPr="005C3CFF">
              <w:rPr>
                <w:rFonts w:eastAsia="Calibri"/>
                <w:b/>
                <w:color w:val="000000"/>
                <w:sz w:val="22"/>
                <w:szCs w:val="22"/>
              </w:rPr>
              <w:br/>
              <w:t>(оценивания)</w:t>
            </w:r>
          </w:p>
        </w:tc>
        <w:tc>
          <w:tcPr>
            <w:tcW w:w="4252" w:type="dxa"/>
            <w:vAlign w:val="center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5C3CFF">
              <w:rPr>
                <w:rFonts w:eastAsia="Calibri"/>
                <w:b/>
                <w:color w:val="000000"/>
                <w:sz w:val="22"/>
                <w:szCs w:val="22"/>
              </w:rPr>
              <w:t>Краткая характеристика формы контроля, оценочных средств</w:t>
            </w:r>
          </w:p>
        </w:tc>
        <w:tc>
          <w:tcPr>
            <w:tcW w:w="3271" w:type="dxa"/>
            <w:vAlign w:val="center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5C3CFF">
              <w:rPr>
                <w:rFonts w:eastAsia="Calibri"/>
                <w:b/>
                <w:color w:val="000000"/>
                <w:sz w:val="22"/>
                <w:szCs w:val="22"/>
              </w:rPr>
              <w:t>Оценочн</w:t>
            </w:r>
            <w:r>
              <w:rPr>
                <w:rFonts w:eastAsia="Calibri"/>
                <w:b/>
                <w:color w:val="000000"/>
                <w:sz w:val="22"/>
                <w:szCs w:val="22"/>
              </w:rPr>
              <w:t xml:space="preserve">ые </w:t>
            </w:r>
            <w:r w:rsidRPr="005C3CFF">
              <w:rPr>
                <w:rFonts w:eastAsia="Calibri"/>
                <w:b/>
                <w:color w:val="000000"/>
                <w:sz w:val="22"/>
                <w:szCs w:val="22"/>
              </w:rPr>
              <w:t>средства</w:t>
            </w:r>
          </w:p>
        </w:tc>
      </w:tr>
      <w:tr w:rsidR="0093493E" w:rsidRPr="005C3CFF" w:rsidTr="0060395C">
        <w:trPr>
          <w:trHeight w:val="1254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Устный опрос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Беседа преподавателя с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с целью выявления и оценки, как правило, уровня знаний. Позволяет оценить знания и кругозор обучающегося, умение логически построить ответ, владение монологической речью и иные коммуникативные навыки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Вопросы для устного опроса по темам дисциплины (модуля), разделам практики</w:t>
            </w:r>
          </w:p>
        </w:tc>
      </w:tr>
      <w:tr w:rsidR="0093493E" w:rsidRPr="005C3CFF" w:rsidTr="0060395C">
        <w:trPr>
          <w:trHeight w:val="1254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Собеседование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Форма устного опроса. Специальная беседа преподавателя с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обучающимся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на темы, связанные с изучаемой дисциплиной, рассчитанная на выяснение и оценку, как правило, объема знаний по определенному разделу, теме, проблеме и т.п.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Вопросы для собеседования по темам, разделам, всей дисциплине (модулю), практике</w:t>
            </w:r>
          </w:p>
        </w:tc>
      </w:tr>
      <w:tr w:rsidR="0093493E" w:rsidRPr="005C3CFF" w:rsidTr="0060395C">
        <w:trPr>
          <w:trHeight w:val="459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Коллоквиум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Учебное занятие, организованное в виде обсуждения преподавателя с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отдельных частей, разделов, тем, вопросов изучаемого курса, обычно не включаемых в тематику занятий семинарского типа, а также рефератов, проектов и иных работ обучающихся. Служит не только формой контроля, но и повышения знаний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Вопросы для коллоквиума. Тематика рефератов, докладов, проектов к коллоквиуму</w:t>
            </w:r>
          </w:p>
        </w:tc>
      </w:tr>
      <w:tr w:rsidR="0093493E" w:rsidRPr="005C3CFF" w:rsidTr="0060395C">
        <w:trPr>
          <w:trHeight w:val="1254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Круглый стол, дискуссия, полемика, диспут, дебаты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Форма контроля, позволяющая включить обучающихся в процесс обсуждения спорного вопроса, проблемы и оценить их умение аргументировать собственную точку зрения 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Перечень тем для проведения круглого стола, дискуссии, полемики, диспута, дебатов. Вопросы для обсуждения. Тематика сообщений. Программа проведения круглого стола и т.д.</w:t>
            </w:r>
          </w:p>
        </w:tc>
      </w:tr>
      <w:tr w:rsidR="0093493E" w:rsidRPr="005C3CFF" w:rsidTr="0060395C">
        <w:trPr>
          <w:trHeight w:val="1254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lastRenderedPageBreak/>
              <w:t>Доклад, сообщение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Продукт самостоятельной работы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обучающегося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>. Публичное выступление, представляющее собой развернутое изложение определенной темы, представление полученных результатов решения определенной задачи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Темы для подготовки докладов, сообщений</w:t>
            </w:r>
          </w:p>
        </w:tc>
      </w:tr>
      <w:tr w:rsidR="0093493E" w:rsidRPr="005C3CFF" w:rsidTr="0060395C">
        <w:trPr>
          <w:trHeight w:val="1254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Ситуационные задачи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Вид учебного задания, имитирующий ситуации, которые могут возникнуть в реальной действительности (при проведении диагностических и лечебных процедур, выполнении лабораторных работ и экспериментов, осуществлении педагогической деятельности). Направлены на описание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вариантов осмысленного применения полученных знаний, умений и владений на практике.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18"/>
                <w:szCs w:val="18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Варианты ситуационных задач: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18"/>
                <w:szCs w:val="18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1) задачи по узнаванию, расшифровке и анализу данных лабораторных исследований в норме и при патологии;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18"/>
                <w:szCs w:val="18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2) логические задачи, ответы на которые строятся на основе теоретических знаний по дисциплине (например, что будет, если…);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18"/>
                <w:szCs w:val="18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3) цифровые задачи, требующие точных знаний определенных параметров, формул и методов расчета;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18"/>
                <w:szCs w:val="18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4) проблемные задачи, где задаётся определенная проблема или клиническая, педагогическая ситуация, которую требуется оценить и объяснить;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5) клинические задачи, в которых даётся медицинская информация о пациенте, позволяющая выяснить логику клинического мышления обучающегося и установить степень готовности к осуществлению профессиональной деятельности.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Банк ситуационных задач</w:t>
            </w:r>
          </w:p>
        </w:tc>
      </w:tr>
      <w:tr w:rsidR="0093493E" w:rsidRPr="005C3CFF" w:rsidTr="0060395C">
        <w:trPr>
          <w:trHeight w:val="317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Оценка практических умений и владений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Форма контроля усвоения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учебного материала практических и семинарских занятий, лекций,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практики,</w:t>
            </w: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а также их способности и готовности применять полученные знания, умения и владения в лечебно-диагностическом процессе</w:t>
            </w:r>
            <w:r>
              <w:rPr>
                <w:rFonts w:eastAsia="Calibri"/>
                <w:color w:val="000000"/>
                <w:sz w:val="20"/>
                <w:szCs w:val="20"/>
              </w:rPr>
              <w:t>, научной и педагогической деятельности</w:t>
            </w:r>
            <w:r w:rsidRPr="005C3CFF">
              <w:rPr>
                <w:rFonts w:eastAsia="Calibri"/>
                <w:color w:val="000000"/>
                <w:sz w:val="20"/>
                <w:szCs w:val="20"/>
              </w:rPr>
              <w:t>. Может проводиться в устной форме, демонстрацией вы</w:t>
            </w:r>
            <w:r>
              <w:rPr>
                <w:rFonts w:eastAsia="Calibri"/>
                <w:color w:val="000000"/>
                <w:sz w:val="20"/>
                <w:szCs w:val="20"/>
              </w:rPr>
              <w:t>полнения определенных действий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Банк заданий для оценки практических умений и владений</w:t>
            </w:r>
          </w:p>
        </w:tc>
      </w:tr>
      <w:tr w:rsidR="0093493E" w:rsidRPr="005C3CFF" w:rsidTr="0060395C">
        <w:trPr>
          <w:trHeight w:val="1120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Клинический разбор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Вид учебной деятельности в медицинском вузе, имитирующий действия, которые возникают в реальной врачебной практике (при проведении обследования и лечения пациента)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Перечень тем, сопровождающихся клиническим разбором. Перечень заболеваний для клинического разбора. Примерная схема клинического разбора</w:t>
            </w:r>
          </w:p>
        </w:tc>
      </w:tr>
      <w:tr w:rsidR="0093493E" w:rsidRPr="005C3CFF" w:rsidTr="0060395C">
        <w:trPr>
          <w:trHeight w:val="1120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Письменная работа (опрос)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Приучает к точности, лаконичности, связанности изложения мысли. Письменная проверка используется во всех видах контроля и осуществляется как в аудиторной, так и во внеаудиторной работе.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18"/>
                <w:szCs w:val="18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 xml:space="preserve">Письменные работы: тесты, контрольные работы, </w:t>
            </w:r>
            <w:r w:rsidRPr="005C3CFF">
              <w:rPr>
                <w:rFonts w:eastAsia="Calibri"/>
                <w:color w:val="000000"/>
                <w:sz w:val="18"/>
                <w:szCs w:val="18"/>
              </w:rPr>
              <w:lastRenderedPageBreak/>
              <w:t>эссе, курсовые работы, отчёты по практикам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lastRenderedPageBreak/>
              <w:t>Вопросы (задания) для письменной работы</w:t>
            </w:r>
          </w:p>
        </w:tc>
      </w:tr>
      <w:tr w:rsidR="0093493E" w:rsidRPr="005C3CFF" w:rsidTr="0060395C">
        <w:trPr>
          <w:trHeight w:val="1120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lastRenderedPageBreak/>
              <w:t>Тест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Совокупность специально составленных стандартизированных заданий специфической формы, позволяющая по результатам её выполнения объективно измерить уровень подготовленности обучающихся в определенной области знаний и автоматизировать процедуру оценивания. Тестирование может проводиться в письменной и компьютерной форме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База тестовых заданий</w:t>
            </w:r>
          </w:p>
        </w:tc>
      </w:tr>
      <w:tr w:rsidR="0093493E" w:rsidRPr="005C3CFF" w:rsidTr="0060395C">
        <w:trPr>
          <w:trHeight w:val="1254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Разноуровневые задачи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и задания, упражнения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18"/>
                <w:szCs w:val="18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А) репродуктивного уровня, позволяющие оценивать и диагностировать знание фактического материала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18"/>
                <w:szCs w:val="18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Б) реконструктивного уровня, позволяющие оценивать и диагностировать умения синтезировать, анализировать, обобщать материал с формулированием конкретных выводов, установлением причинно-следственных связей;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В) творческого уровня, позволяющие оценивать и диагностировать умения, интегрировать знания различных областей, аргументировать собственную точку зрения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Комплект разноуровневых задач и заданий, упражнений</w:t>
            </w:r>
          </w:p>
        </w:tc>
      </w:tr>
      <w:tr w:rsidR="0093493E" w:rsidRPr="005C3CFF" w:rsidTr="0060395C">
        <w:trPr>
          <w:trHeight w:val="1254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Конспект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Краткое письменное изложение основных идей прочитанного (статьи, параграфа, главы, книги, доклада, реферата) или заслушанного сообщения (доклада, лекции).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Направлен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на формирование умения отбивать основное, оценку умения свертывания информации» с использованием обозначений, схем, символов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Темы конспектов. Список литературных источников для конспектирования</w:t>
            </w:r>
          </w:p>
        </w:tc>
      </w:tr>
      <w:tr w:rsidR="0093493E" w:rsidRPr="005C3CFF" w:rsidTr="0060395C">
        <w:trPr>
          <w:trHeight w:val="640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Контрольная работа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Форма проверки и оценки усвоенных знаний, умения применять полученные знания для решения задач определенного типа по теме (разделу, дисциплине), источник информации о характере познавательной деятельности, уровне самостоятельности и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активности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обучающихся в учебном процессе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Контрольные задания по вариантам</w:t>
            </w:r>
          </w:p>
        </w:tc>
      </w:tr>
      <w:tr w:rsidR="0093493E" w:rsidRPr="005C3CFF" w:rsidTr="0060395C">
        <w:trPr>
          <w:trHeight w:val="742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Эссе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Небольшая по объёму самостоятельная письменная работа (сочинение - размышление), направленная на развитие навыков самостоятельного творческого мышления и письменного изложения собственных умозаключений.</w:t>
            </w:r>
          </w:p>
          <w:p w:rsidR="0093493E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Эссе должно содержать чёткое изложение сути поставленной проблемы, включать самостоятельно проведённый анализ этой проблемы с использованием концепций и аналитического инструментария </w:t>
            </w:r>
            <w:r w:rsidRPr="005C3CFF">
              <w:rPr>
                <w:rFonts w:eastAsia="Calibri"/>
                <w:color w:val="000000"/>
                <w:sz w:val="20"/>
                <w:szCs w:val="20"/>
              </w:rPr>
              <w:lastRenderedPageBreak/>
              <w:t xml:space="preserve">соответствующей дисциплины, собственного опыта, общественной практики, выводы, обобщающие авторскую позицию по проблеме. 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Это может быть анализ собранных обучающимся конкретных данных по изучаемой проблеме, анализ материалов из средств массовой информации, подробный разбор предложенной преподавателем проблемы с развернутыми пояснениями и анализом примеров, иллюстрирующих изучаемую проблему и т.д.</w:t>
            </w:r>
            <w:proofErr w:type="gramEnd"/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lastRenderedPageBreak/>
              <w:t>Темы эссе</w:t>
            </w:r>
          </w:p>
        </w:tc>
      </w:tr>
      <w:tr w:rsidR="0093493E" w:rsidRPr="005C3CFF" w:rsidTr="0060395C">
        <w:trPr>
          <w:trHeight w:val="1254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lastRenderedPageBreak/>
              <w:t>Реферат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Творческая исследовательская работа,  представляющий собой краткое изложение в письменном виде полученных результатов теоретического анализа определенной проблемы, где автор раскрывает её суть, приводит различные точки зрения, а так же собственные взгляды на проблему. Цель – привитие </w:t>
            </w:r>
            <w:proofErr w:type="gramStart"/>
            <w:r>
              <w:rPr>
                <w:rFonts w:eastAsia="Calibri"/>
                <w:color w:val="000000"/>
                <w:sz w:val="20"/>
                <w:szCs w:val="20"/>
              </w:rPr>
              <w:t>обучающемуся</w:t>
            </w:r>
            <w:proofErr w:type="gramEnd"/>
            <w:r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r w:rsidRPr="005C3CFF">
              <w:rPr>
                <w:rFonts w:eastAsia="Calibri"/>
                <w:color w:val="000000"/>
                <w:sz w:val="20"/>
                <w:szCs w:val="20"/>
              </w:rPr>
              <w:t>навыков краткого и лаконичного представления собранных материалов и фактов в соответствии с требованиями, предъявляемыми к научным отчетам, обзорам, статьям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Темы рефератов</w:t>
            </w:r>
          </w:p>
        </w:tc>
      </w:tr>
      <w:tr w:rsidR="0093493E" w:rsidRPr="005C3CFF" w:rsidTr="0060395C">
        <w:trPr>
          <w:trHeight w:val="459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Кейс (кейс-задача)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Проблемное задание, представляющее собой единый информационный комплекс, позволяющий осмыслить ситуацию, провоцирующий дискуссию, обращая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к реальным фактам, позволяет смоделировать реальную проблему, с которой в дальнейшем придется столкнуться на практике.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18"/>
                <w:szCs w:val="18"/>
              </w:rPr>
            </w:pPr>
            <w:r w:rsidRPr="005C3CFF">
              <w:rPr>
                <w:rFonts w:eastAsia="Calibri"/>
                <w:color w:val="000000"/>
                <w:sz w:val="18"/>
                <w:szCs w:val="18"/>
              </w:rPr>
              <w:t>Кейсы могут быть профессиональные, общекультурные, психологические. В зависимости от способа представления результатов кейсы могут требовать устного или письменного ответа, индивидуального или группового решения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Кейсы. Задания для решения кейсов</w:t>
            </w:r>
          </w:p>
        </w:tc>
      </w:tr>
      <w:tr w:rsidR="0093493E" w:rsidRPr="005C3CFF" w:rsidTr="0060395C">
        <w:trPr>
          <w:trHeight w:val="1026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Проект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Конечный продукт, получаемый в результате планирования и выполнения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обучающимся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комплекса действий по решению значимой проблемы.</w:t>
            </w:r>
          </w:p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пространстве, уровень сформированности аналитических, исследовательских навыков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Темы для групповых и/или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индивидуальных проектов</w:t>
            </w:r>
            <w:proofErr w:type="gram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. Задания для групповых и/или </w:t>
            </w: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индивидуальных проектов</w:t>
            </w:r>
            <w:proofErr w:type="gramEnd"/>
          </w:p>
        </w:tc>
      </w:tr>
      <w:tr w:rsidR="0093493E" w:rsidRPr="005C3CFF" w:rsidTr="0060395C">
        <w:trPr>
          <w:trHeight w:val="990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История болезни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Самостоятельная работа обучающегося, в которой по определённой форме отражены сведения о находящемся в 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медицинской организации </w:t>
            </w:r>
            <w:r w:rsidRPr="005C3CFF">
              <w:rPr>
                <w:rFonts w:eastAsia="Calibri"/>
                <w:color w:val="000000"/>
                <w:sz w:val="20"/>
                <w:szCs w:val="20"/>
              </w:rPr>
              <w:t>пациенте</w:t>
            </w:r>
            <w:proofErr w:type="gramEnd"/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Схема истории болезни</w:t>
            </w:r>
          </w:p>
        </w:tc>
      </w:tr>
      <w:tr w:rsidR="0093493E" w:rsidRPr="005C3CFF" w:rsidTr="0060395C">
        <w:trPr>
          <w:trHeight w:val="1254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lastRenderedPageBreak/>
              <w:t>Этапный эпикриз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Краткое представление (умозаключение) о больном, его состоянии, диагнозе на данный момент времени и планах по дальнейшему ведению. Обычно используется на коротких циклах, где проходи </w:t>
            </w:r>
            <w:proofErr w:type="spellStart"/>
            <w:r w:rsidRPr="005C3CFF">
              <w:rPr>
                <w:rFonts w:eastAsia="Calibri"/>
                <w:color w:val="000000"/>
                <w:sz w:val="20"/>
                <w:szCs w:val="20"/>
              </w:rPr>
              <w:t>курация</w:t>
            </w:r>
            <w:proofErr w:type="spellEnd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 больных, но не запланировано написание истории болезни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Схема этапного эпикриза</w:t>
            </w:r>
          </w:p>
        </w:tc>
      </w:tr>
      <w:tr w:rsidR="0093493E" w:rsidRPr="005C3CFF" w:rsidTr="0060395C">
        <w:trPr>
          <w:trHeight w:val="976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Лабораторная работа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Вид учебной работы, в которой требуется провести определённый опыт или эксперимент с последующим анализом и оформлением отчёта 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Варианты и описание лабораторных работ</w:t>
            </w:r>
          </w:p>
        </w:tc>
      </w:tr>
      <w:tr w:rsidR="0093493E" w:rsidRPr="005C3CFF" w:rsidTr="0060395C">
        <w:trPr>
          <w:trHeight w:val="949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Расчетно-графическая работа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Средство проверки умений применять полученные знания по заранее определённой методике для решения задач или заданий по модулю или дисциплине в целом 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Комплект заданий для выполнения расчетно-графической работы</w:t>
            </w:r>
          </w:p>
        </w:tc>
      </w:tr>
      <w:tr w:rsidR="0093493E" w:rsidRPr="005C3CFF" w:rsidTr="0060395C">
        <w:trPr>
          <w:trHeight w:val="1415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Деловая, ролевая игра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Совместная деятельность группы обучающихся и преподавателя под управлением преподавателя с целью решения учебных и профессионально-ориентированных задач путем игрового моделирования реальной проблемной ситуации</w:t>
            </w:r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Описание деловой (ролевой) игры (тема (проблема), концепция, роли, задания участникам)</w:t>
            </w:r>
          </w:p>
        </w:tc>
      </w:tr>
      <w:tr w:rsidR="0093493E" w:rsidRPr="005C3CFF" w:rsidTr="0060395C">
        <w:trPr>
          <w:trHeight w:val="708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Портфолио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>Целевая подборка работ обучающегося, раскрывающая его индивидуальные образовательные достижения</w:t>
            </w:r>
            <w:proofErr w:type="gramEnd"/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Структура портфолио</w:t>
            </w:r>
          </w:p>
        </w:tc>
      </w:tr>
      <w:tr w:rsidR="0093493E" w:rsidRPr="005C3CFF" w:rsidTr="0060395C">
        <w:trPr>
          <w:trHeight w:val="1102"/>
          <w:jc w:val="center"/>
        </w:trPr>
        <w:tc>
          <w:tcPr>
            <w:tcW w:w="2660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Тренажер</w:t>
            </w:r>
          </w:p>
        </w:tc>
        <w:tc>
          <w:tcPr>
            <w:tcW w:w="4252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/>
                <w:sz w:val="20"/>
                <w:szCs w:val="20"/>
              </w:rPr>
            </w:pPr>
            <w:proofErr w:type="gramStart"/>
            <w:r w:rsidRPr="005C3CFF">
              <w:rPr>
                <w:rFonts w:eastAsia="Calibri"/>
                <w:color w:val="000000"/>
                <w:sz w:val="20"/>
                <w:szCs w:val="20"/>
              </w:rPr>
              <w:t xml:space="preserve">Техническое средство, которое может быть использовано для контроля приобретенных обучающимся профессиональных навыков, умений, владений по управлению конкретным материальным объектом </w:t>
            </w:r>
            <w:proofErr w:type="gramEnd"/>
          </w:p>
        </w:tc>
        <w:tc>
          <w:tcPr>
            <w:tcW w:w="3271" w:type="dxa"/>
          </w:tcPr>
          <w:p w:rsidR="0093493E" w:rsidRPr="005C3CFF" w:rsidRDefault="0093493E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5C3CFF">
              <w:rPr>
                <w:rFonts w:eastAsia="Calibri"/>
                <w:color w:val="000000"/>
                <w:sz w:val="20"/>
                <w:szCs w:val="20"/>
              </w:rPr>
              <w:t>Комплект заданий для работы на тренажере</w:t>
            </w:r>
          </w:p>
        </w:tc>
      </w:tr>
    </w:tbl>
    <w:p w:rsidR="0093493E" w:rsidRDefault="0093493E" w:rsidP="0093493E">
      <w:pPr>
        <w:autoSpaceDE w:val="0"/>
        <w:autoSpaceDN w:val="0"/>
        <w:adjustRightInd w:val="0"/>
        <w:ind w:firstLine="709"/>
        <w:rPr>
          <w:rFonts w:eastAsia="Calibri"/>
          <w:sz w:val="21"/>
          <w:szCs w:val="21"/>
        </w:rPr>
      </w:pPr>
    </w:p>
    <w:p w:rsidR="0093493E" w:rsidRDefault="0093493E" w:rsidP="0093493E">
      <w:pPr>
        <w:autoSpaceDE w:val="0"/>
        <w:autoSpaceDN w:val="0"/>
        <w:adjustRightInd w:val="0"/>
        <w:ind w:firstLine="709"/>
        <w:rPr>
          <w:rFonts w:eastAsia="Calibri"/>
          <w:b/>
          <w:i/>
          <w:sz w:val="21"/>
          <w:szCs w:val="21"/>
        </w:rPr>
      </w:pPr>
      <w:r w:rsidRPr="00D2614A">
        <w:rPr>
          <w:rFonts w:eastAsia="Calibri"/>
          <w:b/>
          <w:i/>
          <w:sz w:val="21"/>
          <w:szCs w:val="21"/>
        </w:rPr>
        <w:t>Данный перечень форм контроля является примерным!</w:t>
      </w:r>
      <w:r>
        <w:rPr>
          <w:rFonts w:eastAsia="Calibri"/>
          <w:b/>
          <w:i/>
          <w:sz w:val="21"/>
          <w:szCs w:val="21"/>
        </w:rPr>
        <w:t>!!</w:t>
      </w:r>
    </w:p>
    <w:p w:rsidR="0093493E" w:rsidRPr="00D2614A" w:rsidRDefault="0093493E" w:rsidP="0093493E">
      <w:pPr>
        <w:autoSpaceDE w:val="0"/>
        <w:autoSpaceDN w:val="0"/>
        <w:adjustRightInd w:val="0"/>
        <w:ind w:firstLine="709"/>
        <w:rPr>
          <w:rFonts w:eastAsia="Calibri"/>
          <w:b/>
          <w:i/>
          <w:sz w:val="21"/>
          <w:szCs w:val="21"/>
        </w:rPr>
      </w:pPr>
      <w:r>
        <w:rPr>
          <w:rFonts w:eastAsia="Calibri"/>
          <w:b/>
          <w:i/>
          <w:sz w:val="21"/>
          <w:szCs w:val="21"/>
        </w:rPr>
        <w:t>Представление данного перечня не преследует цели ограничить кафедры в выборе форм организации контроля качества освоения программ аспирантуры!!!</w:t>
      </w:r>
    </w:p>
    <w:p w:rsidR="0093493E" w:rsidRDefault="0093493E" w:rsidP="0093493E">
      <w:pPr>
        <w:autoSpaceDE w:val="0"/>
        <w:autoSpaceDN w:val="0"/>
        <w:adjustRightInd w:val="0"/>
        <w:ind w:firstLine="709"/>
        <w:rPr>
          <w:rFonts w:eastAsia="Calibri"/>
          <w:sz w:val="21"/>
          <w:szCs w:val="21"/>
        </w:rPr>
      </w:pPr>
      <w:r>
        <w:rPr>
          <w:rFonts w:eastAsia="Calibri"/>
          <w:sz w:val="21"/>
          <w:szCs w:val="21"/>
        </w:rPr>
        <w:t>В учебном процессе по программам аспирантуры могут использоваться любые другие формы контроля качества в соответствии со спецификой данного уровня образования, спецификой направления подготовки и направленности программы аспирантуры по усмотрению разработчиков программ аспирантуры, кафедр, участвующих в реализации программ, научных руководителей аспирантов</w:t>
      </w:r>
      <w:r w:rsidRPr="00CE0A30">
        <w:rPr>
          <w:rFonts w:eastAsia="Calibri"/>
          <w:sz w:val="21"/>
          <w:szCs w:val="21"/>
        </w:rPr>
        <w:t>.</w:t>
      </w:r>
    </w:p>
    <w:p w:rsidR="00A04582" w:rsidRDefault="0093493E" w:rsidP="0093493E">
      <w:pPr>
        <w:autoSpaceDE w:val="0"/>
        <w:autoSpaceDN w:val="0"/>
        <w:adjustRightInd w:val="0"/>
        <w:ind w:firstLine="709"/>
        <w:rPr>
          <w:rFonts w:eastAsiaTheme="minorHAnsi"/>
          <w:sz w:val="16"/>
          <w:szCs w:val="16"/>
          <w:lang w:eastAsia="en-US"/>
        </w:rPr>
      </w:pPr>
      <w:r>
        <w:rPr>
          <w:rFonts w:eastAsia="Calibri"/>
          <w:sz w:val="21"/>
          <w:szCs w:val="21"/>
        </w:rPr>
        <w:t>Определенный кафедрой перечень форм текущего контроля успеваемости аспирантов отражается в рабочей программе.</w:t>
      </w:r>
    </w:p>
    <w:sectPr w:rsidR="00A04582" w:rsidSect="004D1FE8">
      <w:headerReference w:type="default" r:id="rId12"/>
      <w:footerReference w:type="even" r:id="rId13"/>
      <w:footerReference w:type="default" r:id="rId14"/>
      <w:pgSz w:w="11906" w:h="16838"/>
      <w:pgMar w:top="851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613" w:rsidRDefault="00836613" w:rsidP="00194873">
      <w:r>
        <w:separator/>
      </w:r>
    </w:p>
  </w:endnote>
  <w:endnote w:type="continuationSeparator" w:id="0">
    <w:p w:rsidR="00836613" w:rsidRDefault="00836613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613" w:rsidRDefault="00836613" w:rsidP="00194873">
      <w:r>
        <w:separator/>
      </w:r>
    </w:p>
  </w:footnote>
  <w:footnote w:type="continuationSeparator" w:id="0">
    <w:p w:rsidR="00836613" w:rsidRDefault="00836613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5" w:type="dxa"/>
      <w:jc w:val="center"/>
      <w:tblInd w:w="108" w:type="dxa"/>
      <w:tblLayout w:type="fixed"/>
      <w:tblLook w:val="04A0" w:firstRow="1" w:lastRow="0" w:firstColumn="1" w:lastColumn="0" w:noHBand="0" w:noVBand="1"/>
    </w:tblPr>
    <w:tblGrid>
      <w:gridCol w:w="1979"/>
      <w:gridCol w:w="6447"/>
      <w:gridCol w:w="1609"/>
    </w:tblGrid>
    <w:tr w:rsidR="00C07E82" w:rsidTr="00621BB8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07E82" w:rsidRDefault="00C07E82" w:rsidP="00621BB8">
          <w:pPr>
            <w:spacing w:line="276" w:lineRule="auto"/>
            <w:ind w:firstLine="0"/>
            <w:jc w:val="center"/>
            <w:rPr>
              <w:lang w:eastAsia="ar-SA"/>
            </w:rPr>
          </w:pPr>
          <w:r>
            <w:rPr>
              <w:noProof/>
              <w:color w:val="FF0000"/>
              <w:sz w:val="16"/>
              <w:szCs w:val="16"/>
            </w:rPr>
            <w:drawing>
              <wp:inline distT="0" distB="0" distL="0" distR="0" wp14:anchorId="6A02ED66" wp14:editId="0D5A4BA2">
                <wp:extent cx="1028700" cy="952500"/>
                <wp:effectExtent l="0" t="0" r="0" b="0"/>
                <wp:docPr id="1" name="Рисунок 1" descr="Описание: 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Описание: 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  <w:hideMark/>
        </w:tcPr>
        <w:p w:rsidR="00C07E82" w:rsidRDefault="00C07E82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федеральное государственное бюджетное образовательное учреждение</w:t>
          </w:r>
        </w:p>
        <w:p w:rsidR="00C07E82" w:rsidRDefault="00C07E82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высшего образования</w:t>
          </w:r>
        </w:p>
        <w:p w:rsidR="00C07E82" w:rsidRDefault="00C07E82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«Курский государственный медицинский университет»</w:t>
          </w:r>
        </w:p>
        <w:p w:rsidR="00C07E82" w:rsidRDefault="00C07E82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Министерства здравоохранения  Российской Федерации</w:t>
          </w:r>
          <w:r>
            <w:rPr>
              <w:sz w:val="20"/>
              <w:szCs w:val="20"/>
              <w:lang w:eastAsia="en-US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C07E82" w:rsidRDefault="00C07E82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Стр.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PAGE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6</w:t>
          </w:r>
          <w:r>
            <w:rPr>
              <w:noProof/>
              <w:sz w:val="20"/>
              <w:szCs w:val="20"/>
              <w:lang w:eastAsia="en-US"/>
            </w:rPr>
            <w:fldChar w:fldCharType="end"/>
          </w:r>
          <w:r>
            <w:rPr>
              <w:sz w:val="20"/>
              <w:szCs w:val="20"/>
              <w:lang w:eastAsia="en-US"/>
            </w:rPr>
            <w:t xml:space="preserve"> из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NUMPAGES   \* MERGEFORMAT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6</w:t>
          </w:r>
          <w:r>
            <w:rPr>
              <w:sz w:val="20"/>
              <w:szCs w:val="20"/>
              <w:lang w:eastAsia="en-US"/>
            </w:rPr>
            <w:fldChar w:fldCharType="end"/>
          </w:r>
        </w:p>
      </w:tc>
    </w:tr>
    <w:tr w:rsidR="00C07E82" w:rsidTr="00621BB8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07E82" w:rsidRDefault="00C07E82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C07E82" w:rsidRDefault="00C07E82" w:rsidP="00621BB8">
          <w:pPr>
            <w:snapToGrid w:val="0"/>
            <w:spacing w:line="276" w:lineRule="auto"/>
            <w:ind w:firstLine="0"/>
            <w:jc w:val="center"/>
            <w:rPr>
              <w:b/>
              <w:bCs/>
              <w:sz w:val="20"/>
              <w:szCs w:val="20"/>
              <w:lang w:eastAsia="en-US"/>
            </w:rPr>
          </w:pPr>
          <w:r>
            <w:rPr>
              <w:b/>
              <w:bCs/>
              <w:sz w:val="20"/>
              <w:szCs w:val="20"/>
              <w:lang w:eastAsia="en-US"/>
            </w:rPr>
            <w:t>Центра качества образования и подготовки научных кадров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C07E82" w:rsidRDefault="00C07E82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  <w:tr w:rsidR="00C07E82" w:rsidTr="00621BB8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07E82" w:rsidRDefault="00C07E82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  <w:hideMark/>
        </w:tcPr>
        <w:p w:rsidR="00C07E82" w:rsidRDefault="00C07E82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Примерные формы документов для кафедр,</w:t>
          </w:r>
          <w:r>
            <w:rPr>
              <w:sz w:val="20"/>
              <w:szCs w:val="20"/>
              <w:lang w:eastAsia="en-US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C07E82" w:rsidRDefault="00C07E82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</w:tbl>
  <w:p w:rsidR="0056521C" w:rsidRPr="0056521C" w:rsidRDefault="0056521C" w:rsidP="0056521C">
    <w:pPr>
      <w:pStyle w:val="af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3331"/>
    <w:rsid w:val="00033A7B"/>
    <w:rsid w:val="0004150A"/>
    <w:rsid w:val="000447D7"/>
    <w:rsid w:val="0004656D"/>
    <w:rsid w:val="000477A6"/>
    <w:rsid w:val="00053D3B"/>
    <w:rsid w:val="0005487B"/>
    <w:rsid w:val="00055FAD"/>
    <w:rsid w:val="00064A73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3405"/>
    <w:rsid w:val="000F65E7"/>
    <w:rsid w:val="0010182F"/>
    <w:rsid w:val="0010327F"/>
    <w:rsid w:val="001079ED"/>
    <w:rsid w:val="001103BA"/>
    <w:rsid w:val="00116D95"/>
    <w:rsid w:val="00117131"/>
    <w:rsid w:val="00122C07"/>
    <w:rsid w:val="001329B8"/>
    <w:rsid w:val="001352BF"/>
    <w:rsid w:val="0013540F"/>
    <w:rsid w:val="00140028"/>
    <w:rsid w:val="0014354F"/>
    <w:rsid w:val="001447B7"/>
    <w:rsid w:val="00144D8B"/>
    <w:rsid w:val="0015199E"/>
    <w:rsid w:val="00152CE8"/>
    <w:rsid w:val="00154EEA"/>
    <w:rsid w:val="00156969"/>
    <w:rsid w:val="001623C3"/>
    <w:rsid w:val="00164B80"/>
    <w:rsid w:val="00170058"/>
    <w:rsid w:val="00183D0B"/>
    <w:rsid w:val="001846E8"/>
    <w:rsid w:val="00186884"/>
    <w:rsid w:val="00194873"/>
    <w:rsid w:val="001A17A8"/>
    <w:rsid w:val="001A528B"/>
    <w:rsid w:val="001B2A8D"/>
    <w:rsid w:val="001B527B"/>
    <w:rsid w:val="001C6D40"/>
    <w:rsid w:val="001C6D76"/>
    <w:rsid w:val="001D3645"/>
    <w:rsid w:val="001D61D1"/>
    <w:rsid w:val="001E48E6"/>
    <w:rsid w:val="001E4E7A"/>
    <w:rsid w:val="001E557F"/>
    <w:rsid w:val="001F1E4A"/>
    <w:rsid w:val="00201080"/>
    <w:rsid w:val="002025F3"/>
    <w:rsid w:val="002031F9"/>
    <w:rsid w:val="00210F67"/>
    <w:rsid w:val="00226C83"/>
    <w:rsid w:val="002348D1"/>
    <w:rsid w:val="00243C37"/>
    <w:rsid w:val="002577AF"/>
    <w:rsid w:val="00262AB7"/>
    <w:rsid w:val="00273779"/>
    <w:rsid w:val="00276AAC"/>
    <w:rsid w:val="00282A95"/>
    <w:rsid w:val="00283527"/>
    <w:rsid w:val="0029109F"/>
    <w:rsid w:val="0029180C"/>
    <w:rsid w:val="00293EF7"/>
    <w:rsid w:val="00297E71"/>
    <w:rsid w:val="002A05D1"/>
    <w:rsid w:val="002A0828"/>
    <w:rsid w:val="002A4C49"/>
    <w:rsid w:val="002B3518"/>
    <w:rsid w:val="002B3E9C"/>
    <w:rsid w:val="002B5F83"/>
    <w:rsid w:val="002B6F5D"/>
    <w:rsid w:val="002B7248"/>
    <w:rsid w:val="002B7856"/>
    <w:rsid w:val="002D4AF2"/>
    <w:rsid w:val="002D6770"/>
    <w:rsid w:val="002E1C1D"/>
    <w:rsid w:val="002E3C8F"/>
    <w:rsid w:val="002E3F63"/>
    <w:rsid w:val="002E7CEB"/>
    <w:rsid w:val="0031292E"/>
    <w:rsid w:val="003242C0"/>
    <w:rsid w:val="00325D38"/>
    <w:rsid w:val="00326223"/>
    <w:rsid w:val="003264B5"/>
    <w:rsid w:val="00333065"/>
    <w:rsid w:val="00344854"/>
    <w:rsid w:val="00361006"/>
    <w:rsid w:val="00362387"/>
    <w:rsid w:val="003654F2"/>
    <w:rsid w:val="00367C78"/>
    <w:rsid w:val="003B2CB0"/>
    <w:rsid w:val="003C5397"/>
    <w:rsid w:val="003C7E1A"/>
    <w:rsid w:val="003C7F64"/>
    <w:rsid w:val="003D5E25"/>
    <w:rsid w:val="003E0340"/>
    <w:rsid w:val="003E3216"/>
    <w:rsid w:val="003E7EE7"/>
    <w:rsid w:val="003F4E39"/>
    <w:rsid w:val="004051FA"/>
    <w:rsid w:val="004064A0"/>
    <w:rsid w:val="0041041F"/>
    <w:rsid w:val="00423629"/>
    <w:rsid w:val="004250F6"/>
    <w:rsid w:val="00430B1B"/>
    <w:rsid w:val="00433514"/>
    <w:rsid w:val="004429C6"/>
    <w:rsid w:val="004550D6"/>
    <w:rsid w:val="00455D00"/>
    <w:rsid w:val="0045770C"/>
    <w:rsid w:val="00461262"/>
    <w:rsid w:val="004649AF"/>
    <w:rsid w:val="00467207"/>
    <w:rsid w:val="00475B48"/>
    <w:rsid w:val="00482694"/>
    <w:rsid w:val="004842E2"/>
    <w:rsid w:val="004A3CBD"/>
    <w:rsid w:val="004B254B"/>
    <w:rsid w:val="004B469D"/>
    <w:rsid w:val="004C4B74"/>
    <w:rsid w:val="004C5FD6"/>
    <w:rsid w:val="004D1FE8"/>
    <w:rsid w:val="004E4487"/>
    <w:rsid w:val="004F6D93"/>
    <w:rsid w:val="0050637A"/>
    <w:rsid w:val="00507050"/>
    <w:rsid w:val="0051149C"/>
    <w:rsid w:val="005131BC"/>
    <w:rsid w:val="0052171F"/>
    <w:rsid w:val="00521B6D"/>
    <w:rsid w:val="00521F06"/>
    <w:rsid w:val="0052557A"/>
    <w:rsid w:val="005327C9"/>
    <w:rsid w:val="00536342"/>
    <w:rsid w:val="00541A94"/>
    <w:rsid w:val="00542AA8"/>
    <w:rsid w:val="0056521C"/>
    <w:rsid w:val="0057286D"/>
    <w:rsid w:val="0058226B"/>
    <w:rsid w:val="00582E02"/>
    <w:rsid w:val="00583B70"/>
    <w:rsid w:val="0058619F"/>
    <w:rsid w:val="005872FA"/>
    <w:rsid w:val="005A005F"/>
    <w:rsid w:val="005A3EC7"/>
    <w:rsid w:val="005B08F2"/>
    <w:rsid w:val="005B2C6B"/>
    <w:rsid w:val="005B7B39"/>
    <w:rsid w:val="005D1EDE"/>
    <w:rsid w:val="005D2C72"/>
    <w:rsid w:val="005D7237"/>
    <w:rsid w:val="005E41D6"/>
    <w:rsid w:val="005E4B53"/>
    <w:rsid w:val="005E4FD2"/>
    <w:rsid w:val="005F2EE9"/>
    <w:rsid w:val="005F7D3C"/>
    <w:rsid w:val="006006B3"/>
    <w:rsid w:val="006012A4"/>
    <w:rsid w:val="006028CF"/>
    <w:rsid w:val="00603B29"/>
    <w:rsid w:val="00613D0F"/>
    <w:rsid w:val="00614DE2"/>
    <w:rsid w:val="00633A59"/>
    <w:rsid w:val="00644CE2"/>
    <w:rsid w:val="00646BF6"/>
    <w:rsid w:val="0065143C"/>
    <w:rsid w:val="00663807"/>
    <w:rsid w:val="006700D0"/>
    <w:rsid w:val="00670BCC"/>
    <w:rsid w:val="00673099"/>
    <w:rsid w:val="00677851"/>
    <w:rsid w:val="00690039"/>
    <w:rsid w:val="00691BFA"/>
    <w:rsid w:val="00694A51"/>
    <w:rsid w:val="006A0079"/>
    <w:rsid w:val="006A7EDC"/>
    <w:rsid w:val="006B5E45"/>
    <w:rsid w:val="006B7E2B"/>
    <w:rsid w:val="006C13BA"/>
    <w:rsid w:val="006D58EC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39C"/>
    <w:rsid w:val="007335F7"/>
    <w:rsid w:val="0074552B"/>
    <w:rsid w:val="00771633"/>
    <w:rsid w:val="0077266C"/>
    <w:rsid w:val="00777E2B"/>
    <w:rsid w:val="00786CA2"/>
    <w:rsid w:val="00797354"/>
    <w:rsid w:val="007A09D4"/>
    <w:rsid w:val="007A3B2B"/>
    <w:rsid w:val="007B5AA4"/>
    <w:rsid w:val="007C13FA"/>
    <w:rsid w:val="007C1A3D"/>
    <w:rsid w:val="007E263D"/>
    <w:rsid w:val="00802D59"/>
    <w:rsid w:val="00812B44"/>
    <w:rsid w:val="00814A27"/>
    <w:rsid w:val="008168D6"/>
    <w:rsid w:val="00830CA4"/>
    <w:rsid w:val="00830F03"/>
    <w:rsid w:val="00836613"/>
    <w:rsid w:val="00846683"/>
    <w:rsid w:val="00860707"/>
    <w:rsid w:val="00863DF9"/>
    <w:rsid w:val="00871964"/>
    <w:rsid w:val="0087557B"/>
    <w:rsid w:val="0088127A"/>
    <w:rsid w:val="00883666"/>
    <w:rsid w:val="0089088D"/>
    <w:rsid w:val="00894348"/>
    <w:rsid w:val="00896C1A"/>
    <w:rsid w:val="008A4FC9"/>
    <w:rsid w:val="008B12DB"/>
    <w:rsid w:val="008C6F71"/>
    <w:rsid w:val="008D0EF7"/>
    <w:rsid w:val="008D42B6"/>
    <w:rsid w:val="008D5AB1"/>
    <w:rsid w:val="008F0BAF"/>
    <w:rsid w:val="008F2FBC"/>
    <w:rsid w:val="008F3E5E"/>
    <w:rsid w:val="009056E8"/>
    <w:rsid w:val="00912F50"/>
    <w:rsid w:val="00920D72"/>
    <w:rsid w:val="00922BBD"/>
    <w:rsid w:val="0093493E"/>
    <w:rsid w:val="00934F90"/>
    <w:rsid w:val="00942A95"/>
    <w:rsid w:val="00953411"/>
    <w:rsid w:val="0096089D"/>
    <w:rsid w:val="00963B95"/>
    <w:rsid w:val="0099418A"/>
    <w:rsid w:val="00995064"/>
    <w:rsid w:val="00995EF1"/>
    <w:rsid w:val="009B13CD"/>
    <w:rsid w:val="009B338F"/>
    <w:rsid w:val="009B6F0D"/>
    <w:rsid w:val="009D3292"/>
    <w:rsid w:val="009E469B"/>
    <w:rsid w:val="009F0BBC"/>
    <w:rsid w:val="009F20F5"/>
    <w:rsid w:val="009F5E39"/>
    <w:rsid w:val="00A00B3E"/>
    <w:rsid w:val="00A04582"/>
    <w:rsid w:val="00A04D99"/>
    <w:rsid w:val="00A14F52"/>
    <w:rsid w:val="00A15BCA"/>
    <w:rsid w:val="00A2745A"/>
    <w:rsid w:val="00A352EC"/>
    <w:rsid w:val="00A5241D"/>
    <w:rsid w:val="00A665B7"/>
    <w:rsid w:val="00A667F3"/>
    <w:rsid w:val="00A67FB0"/>
    <w:rsid w:val="00A7005F"/>
    <w:rsid w:val="00A70100"/>
    <w:rsid w:val="00A7785F"/>
    <w:rsid w:val="00A77E57"/>
    <w:rsid w:val="00A87F84"/>
    <w:rsid w:val="00A96B05"/>
    <w:rsid w:val="00A97CCF"/>
    <w:rsid w:val="00AA5F17"/>
    <w:rsid w:val="00AA68A7"/>
    <w:rsid w:val="00AA7CB9"/>
    <w:rsid w:val="00AB0208"/>
    <w:rsid w:val="00AB4676"/>
    <w:rsid w:val="00AB4ED1"/>
    <w:rsid w:val="00AC1959"/>
    <w:rsid w:val="00AC2BCA"/>
    <w:rsid w:val="00AC42E7"/>
    <w:rsid w:val="00AC5B13"/>
    <w:rsid w:val="00AF1665"/>
    <w:rsid w:val="00AF3757"/>
    <w:rsid w:val="00AF4F61"/>
    <w:rsid w:val="00AF636C"/>
    <w:rsid w:val="00B12EA9"/>
    <w:rsid w:val="00B139BC"/>
    <w:rsid w:val="00B22B8C"/>
    <w:rsid w:val="00B2339D"/>
    <w:rsid w:val="00B30803"/>
    <w:rsid w:val="00B326F2"/>
    <w:rsid w:val="00B40373"/>
    <w:rsid w:val="00B760C7"/>
    <w:rsid w:val="00B7674E"/>
    <w:rsid w:val="00B77F36"/>
    <w:rsid w:val="00B8177C"/>
    <w:rsid w:val="00B84E61"/>
    <w:rsid w:val="00B97207"/>
    <w:rsid w:val="00BA0A9D"/>
    <w:rsid w:val="00BA48A8"/>
    <w:rsid w:val="00BA595D"/>
    <w:rsid w:val="00BA7F8B"/>
    <w:rsid w:val="00BC2707"/>
    <w:rsid w:val="00BC30DF"/>
    <w:rsid w:val="00BC7CB1"/>
    <w:rsid w:val="00BD2C5D"/>
    <w:rsid w:val="00BE17A6"/>
    <w:rsid w:val="00BE42E8"/>
    <w:rsid w:val="00BF0BBF"/>
    <w:rsid w:val="00C07E82"/>
    <w:rsid w:val="00C11138"/>
    <w:rsid w:val="00C16EBD"/>
    <w:rsid w:val="00C2081A"/>
    <w:rsid w:val="00C2312C"/>
    <w:rsid w:val="00C26913"/>
    <w:rsid w:val="00C34271"/>
    <w:rsid w:val="00C353A7"/>
    <w:rsid w:val="00C44CA0"/>
    <w:rsid w:val="00C538FD"/>
    <w:rsid w:val="00C633DD"/>
    <w:rsid w:val="00C64546"/>
    <w:rsid w:val="00C71FD4"/>
    <w:rsid w:val="00C8110D"/>
    <w:rsid w:val="00C839F6"/>
    <w:rsid w:val="00C83A20"/>
    <w:rsid w:val="00C83F0A"/>
    <w:rsid w:val="00C852E1"/>
    <w:rsid w:val="00C9767B"/>
    <w:rsid w:val="00CA168E"/>
    <w:rsid w:val="00CB1A95"/>
    <w:rsid w:val="00CB2877"/>
    <w:rsid w:val="00CB4108"/>
    <w:rsid w:val="00CC1B1F"/>
    <w:rsid w:val="00CD4B97"/>
    <w:rsid w:val="00CE4B38"/>
    <w:rsid w:val="00CE50FB"/>
    <w:rsid w:val="00CF4A54"/>
    <w:rsid w:val="00CF75DD"/>
    <w:rsid w:val="00D12D8A"/>
    <w:rsid w:val="00D13EC4"/>
    <w:rsid w:val="00D211C7"/>
    <w:rsid w:val="00D23BEB"/>
    <w:rsid w:val="00D25A66"/>
    <w:rsid w:val="00D2682A"/>
    <w:rsid w:val="00D33117"/>
    <w:rsid w:val="00D36467"/>
    <w:rsid w:val="00D370B6"/>
    <w:rsid w:val="00D37E21"/>
    <w:rsid w:val="00D572B4"/>
    <w:rsid w:val="00D605D1"/>
    <w:rsid w:val="00D759AB"/>
    <w:rsid w:val="00D8080A"/>
    <w:rsid w:val="00D84B6D"/>
    <w:rsid w:val="00D87477"/>
    <w:rsid w:val="00D9218D"/>
    <w:rsid w:val="00D96D80"/>
    <w:rsid w:val="00DA3F4D"/>
    <w:rsid w:val="00DA6FB8"/>
    <w:rsid w:val="00DC13B3"/>
    <w:rsid w:val="00DC540E"/>
    <w:rsid w:val="00DC5E0E"/>
    <w:rsid w:val="00DC6517"/>
    <w:rsid w:val="00DD59A9"/>
    <w:rsid w:val="00DE3D4E"/>
    <w:rsid w:val="00E02455"/>
    <w:rsid w:val="00E03C2B"/>
    <w:rsid w:val="00E267DB"/>
    <w:rsid w:val="00E306A2"/>
    <w:rsid w:val="00E34024"/>
    <w:rsid w:val="00E41AA6"/>
    <w:rsid w:val="00E5018C"/>
    <w:rsid w:val="00E565A7"/>
    <w:rsid w:val="00E642C4"/>
    <w:rsid w:val="00E65BE4"/>
    <w:rsid w:val="00E721E9"/>
    <w:rsid w:val="00E97586"/>
    <w:rsid w:val="00E97B1B"/>
    <w:rsid w:val="00EA255C"/>
    <w:rsid w:val="00EA41E3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238BC"/>
    <w:rsid w:val="00F2709B"/>
    <w:rsid w:val="00F46A32"/>
    <w:rsid w:val="00F61AA6"/>
    <w:rsid w:val="00F62F9F"/>
    <w:rsid w:val="00F6419B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1E3B"/>
    <w:rsid w:val="00FA22DE"/>
    <w:rsid w:val="00FA2AB9"/>
    <w:rsid w:val="00FA43DB"/>
    <w:rsid w:val="00FA4D86"/>
    <w:rsid w:val="00FA5945"/>
    <w:rsid w:val="00FB2B6C"/>
    <w:rsid w:val="00FB43EA"/>
    <w:rsid w:val="00FC0F51"/>
    <w:rsid w:val="00FC2C74"/>
    <w:rsid w:val="00FC5049"/>
    <w:rsid w:val="00FD12D7"/>
    <w:rsid w:val="00FD588B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1832D9-F6D3-4C34-8B7E-80485AF6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11339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3</cp:revision>
  <cp:lastPrinted>2015-11-05T10:08:00Z</cp:lastPrinted>
  <dcterms:created xsi:type="dcterms:W3CDTF">2017-11-17T12:45:00Z</dcterms:created>
  <dcterms:modified xsi:type="dcterms:W3CDTF">2021-04-14T12:44:00Z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