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404964" w:rsidRPr="00404964">
        <w:rPr>
          <w:rFonts w:ascii="Times New Roman" w:hAnsi="Times New Roman" w:cs="Times New Roman"/>
          <w:sz w:val="24"/>
          <w:szCs w:val="24"/>
        </w:rPr>
        <w:t>31.08.37 Клиническая фармакология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404964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964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обеспечению рационального выбора комплексной медикаментозной терапии пациентов, нуждающихся в оказании медицинской помощи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04964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6</cp:revision>
  <cp:lastPrinted>2017-02-08T07:12:00Z</cp:lastPrinted>
  <dcterms:created xsi:type="dcterms:W3CDTF">2019-04-18T09:24:00Z</dcterms:created>
  <dcterms:modified xsi:type="dcterms:W3CDTF">2019-05-15T09:12:00Z</dcterms:modified>
</cp:coreProperties>
</file>