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adjustRightInd/>
        <w:autoSpaceDE w:val="off"/>
        <w:autoSpaceDN w:val="off"/>
        <w:widowControl w:val="off"/>
        <w:jc w:val="center"/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>
      <w:pPr>
        <w:adjustRightInd/>
        <w:autoSpaceDE w:val="off"/>
        <w:autoSpaceDN w:val="off"/>
        <w:widowControl w:val="off"/>
        <w:jc w:val="center"/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sz w:val="28"/>
          <w:szCs w:val="28"/>
        </w:rPr>
        <w:t>высшего образования</w:t>
      </w:r>
    </w:p>
    <w:p>
      <w:pPr>
        <w:adjustRightInd/>
        <w:autoSpaceDE w:val="off"/>
        <w:autoSpaceDN w:val="off"/>
        <w:widowControl w:val="off"/>
        <w:jc w:val="center"/>
        <w:spacing w:after="0" w:line="240" w:lineRule="auto"/>
        <w:rPr>
          <w:lang w:eastAsia="ru-RU"/>
          <w:rFonts w:ascii="Times New Roman" w:eastAsia="Times New Roman" w:hAnsi="Times New Roman" w:cs="Times New Roman"/>
          <w:b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b/>
          <w:sz w:val="28"/>
          <w:szCs w:val="28"/>
        </w:rPr>
        <w:t xml:space="preserve">«Курский государственный медицинский университет» </w:t>
      </w:r>
    </w:p>
    <w:p>
      <w:pPr>
        <w:adjustRightInd/>
        <w:autoSpaceDE w:val="off"/>
        <w:autoSpaceDN w:val="off"/>
        <w:widowControl w:val="off"/>
        <w:jc w:val="center"/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sz w:val="28"/>
          <w:szCs w:val="28"/>
        </w:rPr>
        <w:t>Министерства здравоохранения Российской Федерации</w:t>
      </w:r>
    </w:p>
    <w:p>
      <w:pPr>
        <w:adjustRightInd/>
        <w:autoSpaceDE w:val="off"/>
        <w:autoSpaceDN w:val="off"/>
        <w:widowControl w:val="off"/>
        <w:jc w:val="center"/>
        <w:spacing w:after="0" w:line="240" w:lineRule="auto"/>
        <w:rPr>
          <w:lang w:eastAsia="ru-RU"/>
          <w:rFonts w:ascii="Times New Roman" w:eastAsia="Times New Roman" w:hAnsi="Times New Roman" w:cs="Times New Roman"/>
          <w:b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b/>
          <w:sz w:val="28"/>
          <w:szCs w:val="28"/>
        </w:rPr>
        <w:t>(ФГБОУ ВО КГМУ Минздрава России)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рабочей программе дисциплины</w:t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pBdr>
          <w:bottom w:val="single" w:sz="12" w:space="1" w:color="auto"/>
        </w:pBd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rtl w:val="off"/>
        </w:rPr>
        <w:t>Основы российской государственности</w:t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дисциплины (модуля))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Уровень высшего образования:</w:t>
      </w:r>
      <w:r>
        <w:rPr>
          <w:rFonts w:ascii="Times New Roman" w:hAnsi="Times New Roman" w:cs="Times New Roman"/>
          <w:sz w:val="24"/>
          <w:szCs w:val="24"/>
        </w:rPr>
        <w:t xml:space="preserve">  специалитет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Направление подготовки</w:t>
      </w:r>
      <w:r>
        <w:rPr>
          <w:rFonts w:ascii="Times New Roman" w:hAnsi="Times New Roman" w:cs="Times New Roman"/>
          <w:sz w:val="24"/>
          <w:szCs w:val="24"/>
        </w:rPr>
        <w:t>: 31.05.0</w:t>
      </w:r>
      <w:r>
        <w:rPr>
          <w:rFonts w:ascii="Times New Roman" w:hAnsi="Times New Roman" w:cs="Times New Roman"/>
          <w:sz w:val="24"/>
          <w:szCs w:val="24"/>
          <w:rtl w:val="off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rtl w:val="off"/>
        </w:rPr>
        <w:t>Педиатрия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Направленность: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обучения</w:t>
      </w:r>
      <w:r>
        <w:rPr>
          <w:rFonts w:ascii="Times New Roman" w:hAnsi="Times New Roman" w:cs="Times New Roman"/>
          <w:sz w:val="24"/>
          <w:szCs w:val="24"/>
        </w:rPr>
        <w:t>: очная</w:t>
      </w:r>
    </w:p>
    <w:p>
      <w:pPr>
        <w:pStyle w:val="af3"/>
        <w:ind w:left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Общая трудоемкость дисциплины (зачетных единиц): </w:t>
      </w:r>
      <w:r>
        <w:rPr>
          <w:rFonts w:ascii="Times New Roman" w:hAnsi="Times New Roman" w:cs="Times New Roman"/>
          <w:sz w:val="24"/>
          <w:szCs w:val="24"/>
        </w:rPr>
        <w:t>2 ЗЕТ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обучения (перечень формируемых компетенций):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ffff1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7195" w:type="dxa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Формулировка компетенции</w:t>
            </w:r>
          </w:p>
        </w:tc>
      </w:tr>
      <w:tr>
        <w:trPr>
          <w:trHeight w:val="1012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>
            <w:pPr>
              <w:jc w:val="both"/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 xml:space="preserve">УК-5 </w:t>
            </w:r>
          </w:p>
        </w:tc>
        <w:tc>
          <w:tcPr>
            <w:tcW w:w="7195" w:type="dxa"/>
          </w:tcPr>
          <w:p>
            <w:pPr>
              <w:jc w:val="left"/>
              <w:rPr>
                <w:lang w:eastAsia="en-US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eastAsia="en-US"/>
                <w:rFonts w:ascii="Times New Roman" w:eastAsia="Times New Roman" w:hAnsi="Times New Roman"/>
                <w:sz w:val="24"/>
                <w:szCs w:val="24"/>
              </w:rPr>
              <w:t>Способен анализировать и учитывать</w:t>
            </w:r>
            <w:r>
              <w:rPr>
                <w:lang w:eastAsia="en-US"/>
                <w:rFonts w:ascii="Times New Roman" w:eastAsia="Times New Roman" w:hAnsi="Times New Roman"/>
                <w:sz w:val="24"/>
                <w:szCs w:val="24"/>
                <w:rtl w:val="off"/>
              </w:rPr>
              <w:t xml:space="preserve"> </w:t>
            </w:r>
            <w:r>
              <w:rPr>
                <w:lang w:eastAsia="en-US"/>
                <w:rFonts w:ascii="Times New Roman" w:eastAsia="Times New Roman" w:hAnsi="Times New Roman"/>
                <w:sz w:val="24"/>
                <w:szCs w:val="24"/>
              </w:rPr>
              <w:t>разнообразие культур в процессе</w:t>
            </w:r>
            <w:r>
              <w:rPr>
                <w:lang w:eastAsia="en-US"/>
                <w:rFonts w:ascii="Times New Roman" w:eastAsia="Times New Roman" w:hAnsi="Times New Roman"/>
                <w:sz w:val="24"/>
                <w:szCs w:val="24"/>
                <w:rtl w:val="off"/>
              </w:rPr>
              <w:t xml:space="preserve"> </w:t>
            </w:r>
            <w:r>
              <w:rPr>
                <w:lang w:eastAsia="en-US"/>
                <w:rFonts w:ascii="Times New Roman" w:eastAsia="Times New Roman" w:hAnsi="Times New Roman"/>
                <w:sz w:val="24"/>
                <w:szCs w:val="24"/>
              </w:rPr>
              <w:t>межкультурного взаимодействия</w:t>
            </w:r>
          </w:p>
          <w:p>
            <w:pPr>
              <w:jc w:val="both"/>
            </w:pP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промежуточной аттестации по дисциплине (модулю) – </w:t>
      </w:r>
      <w:r>
        <w:rPr>
          <w:rFonts w:ascii="Times New Roman" w:hAnsi="Times New Roman" w:cs="Times New Roman"/>
          <w:sz w:val="24"/>
          <w:szCs w:val="24"/>
        </w:rPr>
        <w:t xml:space="preserve">зачет </w:t>
      </w: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fals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000"/>
  <w:drawingGridVerticalSpacing w:val="100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f3">
    <w:name w:val="List Paragraph"/>
    <w:basedOn w:val="a1"/>
    <w:qFormat/>
    <w:pPr>
      <w:ind w:left="720"/>
      <w:contextualSpacing/>
    </w:pPr>
  </w:style>
  <w:style w:type="table" w:styleId="afffff1">
    <w:name w:val="Table Grid"/>
    <w:basedOn w:val="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</cp:revision>
  <dcterms:created xsi:type="dcterms:W3CDTF">2019-04-25T10:04:00Z</dcterms:created>
  <dcterms:modified xsi:type="dcterms:W3CDTF">2025-10-03T19:47:17Z</dcterms:modified>
  <cp:version>0900.0100.01</cp:version>
</cp:coreProperties>
</file>